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31" w:tblpY="1368"/>
        <w:tblOverlap w:val="never"/>
        <w:tblW w:w="10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000"/>
        <w:gridCol w:w="2910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2022年发展联络工作研究课题结题名单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新形势下高校教育基金会投资管理模式研究--以“C9联盟”高校为例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发展联络办公室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“双一流”建设背景下我国高校教育基金会境外筹资策略研究--以浙江大学教育基金会为例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发展联络办公室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综合型大学校友会资源拓展的路径探索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 校长办公室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慈善文化融入高校德育路径研究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党委统战部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校友信息化平台建设研究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发展联络办公室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庄代波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国外一流大学基金会治理模式研究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传媒与国际文化学院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高校基金会资源拓展体系建设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发展联络办公室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高校教育基金会工作激励机制创新研究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发展联络办公室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章春盈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高校教育基金会投资战略研究与规划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浙江大学艺术与考古博物馆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徐瑶希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中外合作办学体制下基金会特色筹资项目与品牌建设研究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国际联合学院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高校基金会捐赠法律实务研究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发展联络办公室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浙江大学院（系）筹资情况分析及策略优化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发展联络办公室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郭脉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ZWM2NWRkZjRlYzNlMTZiYzQ2OTM2ZWFkZTAzZTgifQ=="/>
  </w:docVars>
  <w:rsids>
    <w:rsidRoot w:val="015E49E4"/>
    <w:rsid w:val="015E49E4"/>
    <w:rsid w:val="04836CFC"/>
    <w:rsid w:val="0A2C456B"/>
    <w:rsid w:val="63035AB9"/>
    <w:rsid w:val="7DD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410</Characters>
  <Lines>0</Lines>
  <Paragraphs>0</Paragraphs>
  <TotalTime>6</TotalTime>
  <ScaleCrop>false</ScaleCrop>
  <LinksUpToDate>false</LinksUpToDate>
  <CharactersWithSpaces>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2023-11-08T02:29:00Z</dcterms:created>
  <dc:creator>顾佳明--ZJU</dc:creator>
  <cp:lastModifiedBy>charlotte</cp:lastModifiedBy>
  <dcterms:modified xsi:type="dcterms:W3CDTF">2023-11-08T12:41:06Z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8D87EAD212484C7BACBC872CB9F77B03_13</vt:lpwstr>
  </property>
</Properties>
</file>